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D87EA" w14:textId="77777777" w:rsidR="00E20E7A" w:rsidRDefault="009A3613">
      <w:pPr>
        <w:pStyle w:val="2"/>
        <w:spacing w:before="140" w:after="140" w:line="4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湖南理工学院</w:t>
      </w:r>
      <w:r>
        <w:rPr>
          <w:rFonts w:ascii="Times New Roman" w:hAnsi="Times New Roman" w:hint="eastAsia"/>
          <w:color w:val="000000"/>
        </w:rPr>
        <w:t>2025</w:t>
      </w:r>
      <w:r>
        <w:rPr>
          <w:rFonts w:ascii="Times New Roman" w:hAnsi="Times New Roman" w:hint="eastAsia"/>
          <w:color w:val="000000"/>
        </w:rPr>
        <w:t>年专升本考试</w:t>
      </w:r>
    </w:p>
    <w:p w14:paraId="2602EA51" w14:textId="77777777" w:rsidR="00E20E7A" w:rsidRDefault="009A3613">
      <w:pPr>
        <w:pStyle w:val="2"/>
        <w:spacing w:before="140" w:after="140" w:line="4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《音乐综合》</w:t>
      </w:r>
      <w:r>
        <w:rPr>
          <w:rFonts w:ascii="Times New Roman" w:hAnsi="Times New Roman" w:hint="eastAsia"/>
          <w:color w:val="000000"/>
        </w:rPr>
        <w:t>考试</w:t>
      </w:r>
      <w:r>
        <w:rPr>
          <w:rFonts w:ascii="Times New Roman" w:hAnsi="Times New Roman"/>
          <w:color w:val="000000"/>
        </w:rPr>
        <w:t>大纲</w:t>
      </w:r>
    </w:p>
    <w:p w14:paraId="371F7234" w14:textId="77777777" w:rsidR="00E20E7A" w:rsidRDefault="00E20E7A">
      <w:pPr>
        <w:pStyle w:val="3"/>
        <w:spacing w:beforeLines="0" w:before="0" w:afterLines="0" w:after="0" w:line="440" w:lineRule="exact"/>
        <w:rPr>
          <w:rFonts w:ascii="Times New Roman" w:eastAsia="黑体" w:hAnsi="Times New Roman" w:cs="黑体"/>
          <w:b w:val="0"/>
          <w:bCs w:val="0"/>
          <w:color w:val="000000"/>
        </w:rPr>
      </w:pPr>
    </w:p>
    <w:p w14:paraId="019B38FC" w14:textId="77777777" w:rsidR="00E20E7A" w:rsidRDefault="009A3613">
      <w:pPr>
        <w:pStyle w:val="3"/>
        <w:spacing w:beforeLines="0" w:before="0" w:afterLines="0" w:after="0" w:line="440" w:lineRule="exact"/>
        <w:rPr>
          <w:rFonts w:ascii="Times New Roman" w:eastAsia="黑体" w:hAnsi="Times New Roman" w:cs="黑体"/>
          <w:b w:val="0"/>
          <w:bCs w:val="0"/>
          <w:color w:val="000000"/>
        </w:rPr>
      </w:pPr>
      <w:r>
        <w:rPr>
          <w:rFonts w:ascii="Times New Roman" w:eastAsia="黑体" w:hAnsi="Times New Roman" w:cs="黑体" w:hint="eastAsia"/>
          <w:b w:val="0"/>
          <w:bCs w:val="0"/>
          <w:color w:val="000000"/>
        </w:rPr>
        <w:t>一、</w:t>
      </w:r>
      <w:r>
        <w:rPr>
          <w:rFonts w:ascii="Times New Roman" w:eastAsia="黑体" w:hAnsi="Times New Roman" w:cs="黑体" w:hint="eastAsia"/>
          <w:b w:val="0"/>
          <w:bCs w:val="0"/>
          <w:color w:val="000000"/>
        </w:rPr>
        <w:t>考试方式</w:t>
      </w:r>
    </w:p>
    <w:p w14:paraId="40A9696A" w14:textId="77777777" w:rsidR="00E20E7A" w:rsidRDefault="009A3613">
      <w:pPr>
        <w:spacing w:line="440" w:lineRule="exact"/>
        <w:ind w:firstLineChars="300" w:firstLine="720"/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考核方式：面试，满分：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200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分。</w:t>
      </w:r>
    </w:p>
    <w:p w14:paraId="44FD254A" w14:textId="77777777" w:rsidR="00E20E7A" w:rsidRDefault="009A3613">
      <w:pPr>
        <w:spacing w:line="440" w:lineRule="exact"/>
        <w:ind w:firstLineChars="200" w:firstLine="480"/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 xml:space="preserve">  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具体考试时间以湖南省教育考试</w:t>
      </w:r>
      <w:proofErr w:type="gramStart"/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院统一</w:t>
      </w:r>
      <w:proofErr w:type="gramEnd"/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安排为准。</w:t>
      </w:r>
    </w:p>
    <w:p w14:paraId="77E964EB" w14:textId="77777777" w:rsidR="00E20E7A" w:rsidRDefault="009A3613">
      <w:pPr>
        <w:pStyle w:val="3"/>
        <w:spacing w:beforeLines="0" w:before="0" w:afterLines="0" w:after="0" w:line="440" w:lineRule="exact"/>
        <w:rPr>
          <w:rFonts w:ascii="Times New Roman" w:eastAsia="黑体" w:hAnsi="Times New Roman" w:cs="黑体"/>
          <w:b w:val="0"/>
          <w:bCs w:val="0"/>
          <w:color w:val="000000"/>
        </w:rPr>
      </w:pPr>
      <w:r>
        <w:rPr>
          <w:rFonts w:ascii="Times New Roman" w:eastAsia="黑体" w:hAnsi="Times New Roman" w:cs="黑体" w:hint="eastAsia"/>
          <w:b w:val="0"/>
          <w:bCs w:val="0"/>
          <w:color w:val="000000"/>
        </w:rPr>
        <w:t>二、</w:t>
      </w:r>
      <w:r>
        <w:rPr>
          <w:rFonts w:ascii="Times New Roman" w:eastAsia="黑体" w:hAnsi="Times New Roman" w:cs="黑体" w:hint="eastAsia"/>
          <w:b w:val="0"/>
          <w:bCs w:val="0"/>
          <w:color w:val="000000"/>
        </w:rPr>
        <w:t>专业测试要求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7"/>
        <w:gridCol w:w="2532"/>
      </w:tblGrid>
      <w:tr w:rsidR="00E20E7A" w14:paraId="62651730" w14:textId="77777777">
        <w:trPr>
          <w:jc w:val="center"/>
        </w:trPr>
        <w:tc>
          <w:tcPr>
            <w:tcW w:w="8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E50BE" w14:textId="77777777" w:rsidR="00E20E7A" w:rsidRDefault="009A3613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专业测试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分值分布</w:t>
            </w:r>
          </w:p>
        </w:tc>
      </w:tr>
      <w:tr w:rsidR="00E20E7A" w14:paraId="04900F46" w14:textId="77777777">
        <w:trPr>
          <w:jc w:val="center"/>
        </w:trPr>
        <w:tc>
          <w:tcPr>
            <w:tcW w:w="5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0E485" w14:textId="77777777" w:rsidR="00E20E7A" w:rsidRDefault="009A3613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总分（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分）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CFE6F" w14:textId="77777777" w:rsidR="00E20E7A" w:rsidRDefault="009A3613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所占分值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</w:p>
        </w:tc>
      </w:tr>
      <w:tr w:rsidR="00E20E7A" w14:paraId="0A8D198C" w14:textId="77777777">
        <w:trPr>
          <w:trHeight w:val="385"/>
          <w:jc w:val="center"/>
        </w:trPr>
        <w:tc>
          <w:tcPr>
            <w:tcW w:w="5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87C97" w14:textId="77777777" w:rsidR="00E20E7A" w:rsidRDefault="009A361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声乐</w:t>
            </w: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演唱方向：</w:t>
            </w:r>
            <w:r>
              <w:rPr>
                <w:rFonts w:ascii="Times New Roman" w:hAnsi="Times New Roman" w:hint="eastAsia"/>
                <w:color w:val="000000"/>
              </w:rPr>
              <w:t>（民族、美声、通俗方向兼招）</w:t>
            </w:r>
          </w:p>
          <w:p w14:paraId="3FD27B51" w14:textId="77777777" w:rsidR="00E20E7A" w:rsidRDefault="009A361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考试内容：</w:t>
            </w:r>
            <w:r>
              <w:rPr>
                <w:rFonts w:ascii="Times New Roman" w:hAnsi="Times New Roman" w:hint="eastAsia"/>
                <w:color w:val="000000"/>
              </w:rPr>
              <w:t>准备不同风格的中、外古典作品、艺术歌曲</w:t>
            </w:r>
            <w:r>
              <w:rPr>
                <w:rFonts w:ascii="Times New Roman" w:hAnsi="Times New Roman" w:hint="eastAsia"/>
                <w:color w:val="000000"/>
              </w:rPr>
              <w:t>、</w:t>
            </w:r>
            <w:r>
              <w:rPr>
                <w:rFonts w:ascii="Times New Roman" w:hAnsi="Times New Roman" w:hint="eastAsia"/>
                <w:color w:val="000000"/>
              </w:rPr>
              <w:t>歌剧咏叹调或不同风格的民族声乐作品或不同风格的通俗声乐作品</w:t>
            </w:r>
            <w:r>
              <w:rPr>
                <w:rFonts w:ascii="Times New Roman" w:hAnsi="Times New Roman" w:hint="eastAsia"/>
                <w:color w:val="000000"/>
              </w:rPr>
              <w:t>两</w:t>
            </w:r>
            <w:r>
              <w:rPr>
                <w:rFonts w:ascii="Times New Roman" w:hAnsi="Times New Roman" w:hint="eastAsia"/>
                <w:color w:val="000000"/>
              </w:rPr>
              <w:t>首。现场</w:t>
            </w:r>
            <w:r>
              <w:rPr>
                <w:rFonts w:ascii="Times New Roman" w:hAnsi="Times New Roman" w:hint="eastAsia"/>
                <w:color w:val="000000"/>
              </w:rPr>
              <w:t>演唱两首</w:t>
            </w:r>
            <w:r>
              <w:rPr>
                <w:rFonts w:ascii="Times New Roman" w:hAnsi="Times New Roman" w:hint="eastAsia"/>
                <w:color w:val="000000"/>
              </w:rPr>
              <w:t>。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考试时限：</w:t>
            </w:r>
            <w:r>
              <w:rPr>
                <w:rFonts w:ascii="Times New Roman" w:hAnsi="Times New Roman" w:hint="eastAsia"/>
                <w:color w:val="000000"/>
              </w:rPr>
              <w:t>总演唱时长限定在</w:t>
            </w:r>
            <w:r>
              <w:rPr>
                <w:rFonts w:ascii="Times New Roman" w:hAnsi="Times New Roman" w:hint="eastAsia"/>
                <w:color w:val="000000"/>
              </w:rPr>
              <w:t>10</w:t>
            </w:r>
            <w:r>
              <w:rPr>
                <w:rFonts w:ascii="Times New Roman" w:hAnsi="Times New Roman" w:hint="eastAsia"/>
                <w:color w:val="000000"/>
              </w:rPr>
              <w:t>分钟以内</w:t>
            </w:r>
            <w:r>
              <w:rPr>
                <w:rFonts w:ascii="Times New Roman" w:hAnsi="Times New Roman" w:hint="eastAsia"/>
                <w:color w:val="000000"/>
              </w:rPr>
              <w:t>。考试重点</w:t>
            </w:r>
            <w:r>
              <w:rPr>
                <w:rFonts w:ascii="Times New Roman" w:hAnsi="Times New Roman" w:hint="eastAsia"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歌唱条件、歌唱技巧、作品理解、风格把握、艺术处理、舞台表演等。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考试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重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点：</w:t>
            </w:r>
            <w:r>
              <w:rPr>
                <w:rFonts w:ascii="Times New Roman" w:hAnsi="Times New Roman" w:hint="eastAsia"/>
                <w:color w:val="000000"/>
              </w:rPr>
              <w:t>歌唱技巧和作品内涵的表达。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0A979" w14:textId="0BFDF780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歌唱条件：</w:t>
            </w:r>
            <w:r w:rsidR="006B0C82">
              <w:rPr>
                <w:rFonts w:ascii="Times New Roman" w:hAnsi="Times New Roman" w:hint="eastAsia"/>
                <w:color w:val="000000"/>
                <w:szCs w:val="21"/>
              </w:rPr>
              <w:t>40</w:t>
            </w:r>
          </w:p>
        </w:tc>
      </w:tr>
      <w:tr w:rsidR="00E20E7A" w14:paraId="4524AB6D" w14:textId="77777777" w:rsidTr="00194A95">
        <w:trPr>
          <w:trHeight w:val="472"/>
          <w:jc w:val="center"/>
        </w:trPr>
        <w:tc>
          <w:tcPr>
            <w:tcW w:w="5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37AC6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19976" w14:textId="3D666DEC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歌唱技巧：</w:t>
            </w:r>
            <w:r w:rsidR="006B0C82">
              <w:rPr>
                <w:rFonts w:ascii="Times New Roman" w:hAnsi="Times New Roman" w:hint="eastAsia"/>
                <w:color w:val="000000"/>
                <w:szCs w:val="21"/>
              </w:rPr>
              <w:t>40</w:t>
            </w:r>
          </w:p>
        </w:tc>
      </w:tr>
      <w:tr w:rsidR="00E20E7A" w14:paraId="0199AED7" w14:textId="77777777" w:rsidTr="00194A95">
        <w:trPr>
          <w:trHeight w:val="478"/>
          <w:jc w:val="center"/>
        </w:trPr>
        <w:tc>
          <w:tcPr>
            <w:tcW w:w="5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C7B01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2B867" w14:textId="53ECE8BF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作品理解：</w:t>
            </w:r>
            <w:r w:rsidR="006B0C82">
              <w:rPr>
                <w:rFonts w:ascii="Times New Roman" w:hAnsi="Times New Roman" w:hint="eastAsia"/>
                <w:color w:val="000000"/>
              </w:rPr>
              <w:t>40</w:t>
            </w:r>
          </w:p>
        </w:tc>
      </w:tr>
      <w:tr w:rsidR="00E20E7A" w14:paraId="0011D8CD" w14:textId="77777777" w:rsidTr="00194A95">
        <w:trPr>
          <w:trHeight w:val="485"/>
          <w:jc w:val="center"/>
        </w:trPr>
        <w:tc>
          <w:tcPr>
            <w:tcW w:w="5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9F3B4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575D6" w14:textId="4D494FA0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风格把握：</w:t>
            </w:r>
            <w:r w:rsidR="006B0C82">
              <w:rPr>
                <w:rFonts w:ascii="Times New Roman" w:hAnsi="Times New Roman" w:hint="eastAsia"/>
                <w:color w:val="000000"/>
              </w:rPr>
              <w:t>40</w:t>
            </w:r>
          </w:p>
        </w:tc>
      </w:tr>
      <w:tr w:rsidR="00E20E7A" w14:paraId="5C4FA814" w14:textId="77777777">
        <w:trPr>
          <w:trHeight w:val="317"/>
          <w:jc w:val="center"/>
        </w:trPr>
        <w:tc>
          <w:tcPr>
            <w:tcW w:w="5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5BBAF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AB506" w14:textId="69D3882E" w:rsidR="00E20E7A" w:rsidRDefault="006B0C82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音乐表现</w:t>
            </w:r>
            <w:r w:rsidR="009A3613">
              <w:rPr>
                <w:rFonts w:ascii="Times New Roman" w:hAnsi="Times New Roman" w:hint="eastAsia"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40</w:t>
            </w:r>
          </w:p>
        </w:tc>
      </w:tr>
      <w:tr w:rsidR="00E20E7A" w14:paraId="62A60885" w14:textId="77777777" w:rsidTr="00194A95">
        <w:trPr>
          <w:trHeight w:val="387"/>
          <w:jc w:val="center"/>
        </w:trPr>
        <w:tc>
          <w:tcPr>
            <w:tcW w:w="5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42362" w14:textId="77777777" w:rsidR="00E20E7A" w:rsidRDefault="009A3613">
            <w:pPr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1"/>
              </w:rPr>
              <w:t>器乐演奏方向：</w:t>
            </w:r>
          </w:p>
          <w:p w14:paraId="4EF47CE6" w14:textId="77777777" w:rsidR="00E20E7A" w:rsidRDefault="009A361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考试内容：</w:t>
            </w:r>
            <w:r>
              <w:rPr>
                <w:rFonts w:ascii="Times New Roman" w:hAnsi="Times New Roman" w:hint="eastAsia"/>
                <w:color w:val="000000"/>
              </w:rPr>
              <w:t>现场演奏。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1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  <w:r>
              <w:rPr>
                <w:rFonts w:ascii="Times New Roman" w:hAnsi="Times New Roman" w:hint="eastAsia"/>
                <w:color w:val="000000"/>
              </w:rPr>
              <w:t>民族乐器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含二胡、琵琶、扬琴、中阮、古筝、古琴、笛子、唢呐等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  <w:r>
              <w:rPr>
                <w:rFonts w:ascii="Times New Roman" w:hAnsi="Times New Roman" w:hint="eastAsia"/>
                <w:color w:val="000000"/>
              </w:rPr>
              <w:t>，考试要求演奏练习曲和乐曲各一首。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  <w:r>
              <w:rPr>
                <w:rFonts w:ascii="Times New Roman" w:hAnsi="Times New Roman" w:hint="eastAsia"/>
                <w:color w:val="000000"/>
              </w:rPr>
              <w:t>西洋管弦乐器</w:t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 w:hint="eastAsia"/>
                <w:color w:val="000000"/>
              </w:rPr>
              <w:t>含小提琴、大提琴、小号、长笛、萨克斯、架子鼓等</w:t>
            </w:r>
            <w:r>
              <w:rPr>
                <w:rFonts w:ascii="Times New Roman" w:hAnsi="Times New Roman" w:hint="eastAsia"/>
                <w:color w:val="000000"/>
              </w:rPr>
              <w:t>）</w:t>
            </w:r>
            <w:r>
              <w:rPr>
                <w:rFonts w:ascii="Times New Roman" w:hAnsi="Times New Roman" w:hint="eastAsia"/>
                <w:color w:val="000000"/>
              </w:rPr>
              <w:t>，考试要求演奏练习曲和乐曲各一首。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考试时限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时长限</w:t>
            </w:r>
            <w:r>
              <w:rPr>
                <w:rFonts w:ascii="Times New Roman" w:hAnsi="Times New Roman" w:hint="eastAsia"/>
                <w:color w:val="000000"/>
              </w:rPr>
              <w:t>定</w:t>
            </w:r>
            <w:r>
              <w:rPr>
                <w:rFonts w:ascii="Times New Roman" w:hAnsi="Times New Roman" w:hint="eastAsia"/>
                <w:color w:val="000000"/>
              </w:rPr>
              <w:t>在</w:t>
            </w:r>
            <w:r>
              <w:rPr>
                <w:rFonts w:ascii="Times New Roman" w:hAnsi="Times New Roman" w:hint="eastAsia"/>
                <w:color w:val="000000"/>
              </w:rPr>
              <w:t>10</w:t>
            </w:r>
            <w:r>
              <w:rPr>
                <w:rFonts w:ascii="Times New Roman" w:hAnsi="Times New Roman" w:hint="eastAsia"/>
                <w:color w:val="000000"/>
              </w:rPr>
              <w:t>分钟以内。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考试重点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演奏技巧、作品理解、风格把握、艺术处理、舞台表现</w:t>
            </w:r>
            <w:r>
              <w:rPr>
                <w:rFonts w:ascii="Times New Roman" w:hAnsi="Times New Roman" w:hint="eastAsia"/>
                <w:color w:val="000000"/>
              </w:rPr>
              <w:t>等</w:t>
            </w:r>
            <w:r>
              <w:rPr>
                <w:rFonts w:ascii="Times New Roman" w:hAnsi="Times New Roman" w:hint="eastAsia"/>
                <w:color w:val="000000"/>
              </w:rPr>
              <w:t>。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考试难点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演奏技巧与音乐表现能力。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EE0CE" w14:textId="17F51D4D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演奏条件：</w:t>
            </w:r>
            <w:r w:rsidR="006B0C82">
              <w:rPr>
                <w:rFonts w:ascii="Times New Roman" w:hAnsi="Times New Roman" w:hint="eastAsia"/>
                <w:color w:val="000000"/>
                <w:szCs w:val="21"/>
              </w:rPr>
              <w:t>40</w:t>
            </w:r>
          </w:p>
        </w:tc>
      </w:tr>
      <w:tr w:rsidR="00E20E7A" w14:paraId="650F344B" w14:textId="77777777">
        <w:trPr>
          <w:trHeight w:val="416"/>
          <w:jc w:val="center"/>
        </w:trPr>
        <w:tc>
          <w:tcPr>
            <w:tcW w:w="5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B01D7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7D4E8" w14:textId="49806614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演奏技巧：</w:t>
            </w:r>
            <w:r w:rsidR="006B0C82">
              <w:rPr>
                <w:rFonts w:ascii="Times New Roman" w:hAnsi="Times New Roman" w:hint="eastAsia"/>
                <w:color w:val="000000"/>
                <w:szCs w:val="21"/>
              </w:rPr>
              <w:t>40</w:t>
            </w:r>
          </w:p>
        </w:tc>
      </w:tr>
      <w:tr w:rsidR="00E20E7A" w14:paraId="7DDEA25C" w14:textId="77777777" w:rsidTr="00194A95">
        <w:trPr>
          <w:trHeight w:val="542"/>
          <w:jc w:val="center"/>
        </w:trPr>
        <w:tc>
          <w:tcPr>
            <w:tcW w:w="5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1B806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E0D90" w14:textId="62FC0170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作品理解：</w:t>
            </w:r>
            <w:r w:rsidR="006B0C82"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</w:p>
        </w:tc>
      </w:tr>
      <w:tr w:rsidR="00E20E7A" w14:paraId="4FC605B2" w14:textId="77777777" w:rsidTr="00194A95">
        <w:trPr>
          <w:trHeight w:val="553"/>
          <w:jc w:val="center"/>
        </w:trPr>
        <w:tc>
          <w:tcPr>
            <w:tcW w:w="5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F1143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51F2C" w14:textId="62AF5FFE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风格把握：</w:t>
            </w:r>
            <w:r w:rsidR="006B0C82"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</w:p>
        </w:tc>
      </w:tr>
      <w:tr w:rsidR="00E20E7A" w14:paraId="6CA3D468" w14:textId="77777777">
        <w:trPr>
          <w:trHeight w:val="378"/>
          <w:jc w:val="center"/>
        </w:trPr>
        <w:tc>
          <w:tcPr>
            <w:tcW w:w="5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3E2DE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35BAE" w14:textId="63262BED" w:rsidR="00E20E7A" w:rsidRDefault="006B0C82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音乐表现</w:t>
            </w:r>
            <w:r w:rsidR="009A3613">
              <w:rPr>
                <w:rFonts w:ascii="Times New Roman" w:hAnsi="Times New Roman" w:hint="eastAsia"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 w:rsidR="009A3613">
              <w:rPr>
                <w:rFonts w:ascii="Times New Roman" w:hAnsi="Times New Roman" w:hint="eastAsia"/>
                <w:color w:val="000000"/>
              </w:rPr>
              <w:t>0</w:t>
            </w:r>
          </w:p>
        </w:tc>
      </w:tr>
      <w:tr w:rsidR="00E20E7A" w14:paraId="41D493C9" w14:textId="77777777">
        <w:trPr>
          <w:trHeight w:val="308"/>
          <w:jc w:val="center"/>
        </w:trPr>
        <w:tc>
          <w:tcPr>
            <w:tcW w:w="5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05D99" w14:textId="77777777" w:rsidR="00E20E7A" w:rsidRDefault="009A361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钢琴演奏方向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：</w:t>
            </w:r>
          </w:p>
          <w:p w14:paraId="795A0823" w14:textId="77777777" w:rsidR="00E20E7A" w:rsidRDefault="009A361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考试内容：</w:t>
            </w:r>
            <w:r>
              <w:rPr>
                <w:rFonts w:ascii="Times New Roman" w:hAnsi="Times New Roman" w:hint="eastAsia"/>
                <w:color w:val="000000"/>
              </w:rPr>
              <w:t>现场演奏练习曲和乐曲各一首。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考试时限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时长限</w:t>
            </w:r>
            <w:r>
              <w:rPr>
                <w:rFonts w:ascii="Times New Roman" w:hAnsi="Times New Roman" w:hint="eastAsia"/>
                <w:color w:val="000000"/>
              </w:rPr>
              <w:t>定</w:t>
            </w:r>
            <w:r>
              <w:rPr>
                <w:rFonts w:ascii="Times New Roman" w:hAnsi="Times New Roman" w:hint="eastAsia"/>
                <w:color w:val="000000"/>
              </w:rPr>
              <w:t>在</w:t>
            </w:r>
            <w:r>
              <w:rPr>
                <w:rFonts w:ascii="Times New Roman" w:hAnsi="Times New Roman" w:hint="eastAsia"/>
                <w:color w:val="000000"/>
              </w:rPr>
              <w:t>10</w:t>
            </w:r>
            <w:r>
              <w:rPr>
                <w:rFonts w:ascii="Times New Roman" w:hAnsi="Times New Roman" w:hint="eastAsia"/>
                <w:color w:val="000000"/>
              </w:rPr>
              <w:t>分钟以内。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考试重点</w:t>
            </w:r>
            <w:r>
              <w:rPr>
                <w:rFonts w:ascii="Times New Roman" w:hAnsi="Times New Roman" w:hint="eastAsia"/>
                <w:b/>
                <w:bCs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演奏技巧、作品理解、风格把握、艺术处理、舞台表现</w:t>
            </w:r>
            <w:r>
              <w:rPr>
                <w:rFonts w:ascii="Times New Roman" w:hAnsi="Times New Roman" w:hint="eastAsia"/>
                <w:color w:val="000000"/>
              </w:rPr>
              <w:t>等</w:t>
            </w:r>
            <w:r>
              <w:rPr>
                <w:rFonts w:ascii="Times New Roman" w:hAnsi="Times New Roman" w:hint="eastAsia"/>
                <w:color w:val="000000"/>
              </w:rPr>
              <w:t>。</w:t>
            </w:r>
          </w:p>
          <w:p w14:paraId="67CDE5FE" w14:textId="77777777" w:rsidR="00E20E7A" w:rsidRDefault="00E20E7A">
            <w:pPr>
              <w:rPr>
                <w:rFonts w:ascii="Times New Roman" w:hAnsi="Times New Roman"/>
                <w:color w:val="000000"/>
              </w:rPr>
            </w:pPr>
          </w:p>
          <w:p w14:paraId="344219FC" w14:textId="77777777" w:rsidR="00E20E7A" w:rsidRDefault="00E20E7A">
            <w:pPr>
              <w:rPr>
                <w:rFonts w:ascii="Times New Roman" w:hAnsi="Times New Roman"/>
                <w:color w:val="000000"/>
              </w:rPr>
            </w:pPr>
          </w:p>
          <w:p w14:paraId="6521FC85" w14:textId="77777777" w:rsidR="00E20E7A" w:rsidRDefault="00E20E7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9F099" w14:textId="490D2968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演奏条件：</w:t>
            </w:r>
            <w:r w:rsidR="006B0C8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</w:p>
        </w:tc>
      </w:tr>
      <w:tr w:rsidR="00E20E7A" w14:paraId="08699343" w14:textId="77777777">
        <w:trPr>
          <w:trHeight w:val="253"/>
          <w:jc w:val="center"/>
        </w:trPr>
        <w:tc>
          <w:tcPr>
            <w:tcW w:w="5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55FF0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8E23A" w14:textId="55F1F06B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演奏技巧：</w:t>
            </w:r>
            <w:r w:rsidR="006B0C8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</w:p>
        </w:tc>
      </w:tr>
      <w:tr w:rsidR="00E20E7A" w14:paraId="23800A62" w14:textId="77777777">
        <w:trPr>
          <w:trHeight w:val="286"/>
          <w:jc w:val="center"/>
        </w:trPr>
        <w:tc>
          <w:tcPr>
            <w:tcW w:w="56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F9503C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D2237" w14:textId="66212FC1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作品理解：</w:t>
            </w:r>
            <w:r w:rsidR="006B0C82"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</w:p>
        </w:tc>
      </w:tr>
      <w:tr w:rsidR="00E20E7A" w14:paraId="34FA7CF7" w14:textId="77777777">
        <w:trPr>
          <w:trHeight w:val="247"/>
          <w:jc w:val="center"/>
        </w:trPr>
        <w:tc>
          <w:tcPr>
            <w:tcW w:w="56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3EA15E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10637" w14:textId="17C7B5AE" w:rsidR="00E20E7A" w:rsidRDefault="009A3613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风格把握：</w:t>
            </w:r>
            <w:r w:rsidR="006B0C82"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</w:p>
        </w:tc>
      </w:tr>
      <w:tr w:rsidR="00E20E7A" w14:paraId="35D2A0C1" w14:textId="77777777" w:rsidTr="006B0C82">
        <w:trPr>
          <w:trHeight w:val="459"/>
          <w:jc w:val="center"/>
        </w:trPr>
        <w:tc>
          <w:tcPr>
            <w:tcW w:w="56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30A056" w14:textId="77777777" w:rsidR="00E20E7A" w:rsidRDefault="00E20E7A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44972" w14:textId="70C0F341" w:rsidR="00E20E7A" w:rsidRDefault="006B0C82" w:rsidP="006B0C82">
            <w:pPr>
              <w:adjustRightInd w:val="0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音乐表现</w:t>
            </w:r>
            <w:r w:rsidR="009A3613">
              <w:rPr>
                <w:rFonts w:ascii="Times New Roman" w:hAnsi="Times New Roman" w:hint="eastAsia"/>
                <w:color w:val="000000"/>
              </w:rPr>
              <w:t>：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 w:rsidR="009A3613">
              <w:rPr>
                <w:rFonts w:ascii="Times New Roman" w:hAnsi="Times New Roman" w:hint="eastAsia"/>
                <w:color w:val="000000"/>
              </w:rPr>
              <w:t>0</w:t>
            </w:r>
          </w:p>
        </w:tc>
      </w:tr>
    </w:tbl>
    <w:p w14:paraId="66005A62" w14:textId="77777777" w:rsidR="00E20E7A" w:rsidRDefault="009A3613">
      <w:pPr>
        <w:pStyle w:val="3"/>
        <w:spacing w:beforeLines="0" w:before="0" w:afterLines="0" w:after="0" w:line="440" w:lineRule="exact"/>
        <w:rPr>
          <w:rFonts w:ascii="Times New Roman" w:eastAsia="黑体" w:hAnsi="Times New Roman" w:cs="黑体"/>
          <w:b w:val="0"/>
          <w:bCs w:val="0"/>
          <w:color w:val="000000"/>
        </w:rPr>
      </w:pPr>
      <w:r>
        <w:rPr>
          <w:rFonts w:ascii="Times New Roman" w:eastAsia="黑体" w:hAnsi="Times New Roman" w:cs="黑体" w:hint="eastAsia"/>
          <w:b w:val="0"/>
          <w:bCs w:val="0"/>
          <w:color w:val="000000"/>
        </w:rPr>
        <w:t>三</w:t>
      </w:r>
      <w:r>
        <w:rPr>
          <w:rFonts w:ascii="Times New Roman" w:eastAsia="黑体" w:hAnsi="Times New Roman" w:cs="黑体" w:hint="eastAsia"/>
          <w:b w:val="0"/>
          <w:bCs w:val="0"/>
          <w:color w:val="000000"/>
        </w:rPr>
        <w:t>、</w:t>
      </w:r>
      <w:r>
        <w:rPr>
          <w:rFonts w:ascii="Times New Roman" w:eastAsia="黑体" w:hAnsi="Times New Roman" w:cs="黑体" w:hint="eastAsia"/>
          <w:b w:val="0"/>
          <w:bCs w:val="0"/>
          <w:color w:val="000000"/>
        </w:rPr>
        <w:t>考试的有关要求</w:t>
      </w:r>
    </w:p>
    <w:p w14:paraId="5902F08C" w14:textId="77777777" w:rsidR="00E20E7A" w:rsidRDefault="009A3613">
      <w:pPr>
        <w:spacing w:line="440" w:lineRule="exact"/>
        <w:ind w:firstLineChars="200" w:firstLine="480"/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专业技能面试除钢琴外，所有乐器由考生自备。声乐方向美声唱法、民族唱法考生提供正谱，考点提供钢琴伴奏，通俗唱法学生用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U</w:t>
      </w:r>
      <w:proofErr w:type="gramStart"/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盘自带</w:t>
      </w:r>
      <w:proofErr w:type="gramEnd"/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伴奏音乐，考点提供音响设备。</w:t>
      </w:r>
    </w:p>
    <w:p w14:paraId="0E2BF7C9" w14:textId="77777777" w:rsidR="00E20E7A" w:rsidRDefault="009A3613">
      <w:pPr>
        <w:pStyle w:val="3"/>
        <w:spacing w:beforeLines="0" w:before="0" w:afterLines="0" w:after="0" w:line="440" w:lineRule="exact"/>
        <w:rPr>
          <w:rFonts w:ascii="Times New Roman" w:eastAsia="黑体" w:hAnsi="Times New Roman" w:cs="黑体"/>
          <w:b w:val="0"/>
          <w:bCs w:val="0"/>
          <w:color w:val="000000"/>
        </w:rPr>
      </w:pPr>
      <w:r>
        <w:rPr>
          <w:rFonts w:ascii="Times New Roman" w:eastAsia="黑体" w:hAnsi="Times New Roman" w:cs="黑体" w:hint="eastAsia"/>
          <w:b w:val="0"/>
          <w:bCs w:val="0"/>
          <w:color w:val="000000"/>
        </w:rPr>
        <w:lastRenderedPageBreak/>
        <w:t>四、参考教材</w:t>
      </w:r>
    </w:p>
    <w:p w14:paraId="3B0DB99B" w14:textId="77777777" w:rsidR="00E20E7A" w:rsidRDefault="009A3613">
      <w:pPr>
        <w:spacing w:line="440" w:lineRule="exact"/>
        <w:ind w:firstLineChars="200" w:firstLine="480"/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1.</w:t>
      </w:r>
      <w:proofErr w:type="gramStart"/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罗宪君</w:t>
      </w:r>
      <w:proofErr w:type="gramEnd"/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，李滨荪，</w:t>
      </w:r>
      <w:proofErr w:type="gramStart"/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徐朗</w:t>
      </w:r>
      <w:proofErr w:type="gramEnd"/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.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声乐曲选集，人民音乐出版社，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1986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年；</w:t>
      </w:r>
    </w:p>
    <w:p w14:paraId="5D8A2CAF" w14:textId="77777777" w:rsidR="00E20E7A" w:rsidRDefault="009A3613">
      <w:pPr>
        <w:spacing w:line="440" w:lineRule="exact"/>
        <w:ind w:firstLineChars="200" w:firstLine="480"/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2.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尚家骧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.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意大利歌曲集，人民音乐出版社，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2009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年；</w:t>
      </w:r>
    </w:p>
    <w:p w14:paraId="11E9C468" w14:textId="77777777" w:rsidR="00E20E7A" w:rsidRDefault="009A3613">
      <w:pPr>
        <w:spacing w:line="440" w:lineRule="exact"/>
        <w:ind w:firstLineChars="200" w:firstLine="480"/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3.</w:t>
      </w:r>
      <w:proofErr w:type="gramStart"/>
      <w:r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  <w:t>周枫</w:t>
      </w:r>
      <w:proofErr w:type="gramEnd"/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.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外国歌剧选曲集，</w:t>
      </w:r>
      <w:hyperlink r:id="rId7" w:tgtFrame="https://baike.baidu.com/item/%E5%A4%96%E5%9B%BD%E6%AD%8C%E5%89%A7%E9%80%89%E6%9B%B2%E9%9B%86%EF%BC%9A%E7%94%B7%E9%AB%98%E9%9F%B3%E5%92%8F%E5%8F%B9%E8%B0%83/_blank" w:history="1">
        <w:r>
          <w:rPr>
            <w:rFonts w:ascii="Times New Roman" w:hAnsi="Times New Roman" w:cs="Tahoma"/>
            <w:color w:val="000000"/>
            <w:sz w:val="24"/>
            <w:szCs w:val="21"/>
            <w:shd w:val="clear" w:color="auto" w:fill="FFFFFF"/>
          </w:rPr>
          <w:t>上海音乐出版社</w:t>
        </w:r>
      </w:hyperlink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，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2021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年；</w:t>
      </w:r>
    </w:p>
    <w:p w14:paraId="11CF7EC3" w14:textId="77777777" w:rsidR="00E20E7A" w:rsidRDefault="009A3613">
      <w:pPr>
        <w:spacing w:line="440" w:lineRule="exact"/>
        <w:ind w:firstLineChars="200" w:firstLine="480"/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4.</w:t>
      </w:r>
      <w:r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  <w:t>刘延滨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，</w:t>
      </w:r>
      <w:proofErr w:type="gramStart"/>
      <w:r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  <w:t>黄莲</w:t>
      </w:r>
      <w:proofErr w:type="gramEnd"/>
      <w:r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  <w:t>选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.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中外器乐名曲百首，</w:t>
      </w:r>
      <w:r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  <w:t>金盾出版社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，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200</w:t>
      </w:r>
      <w:r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  <w:t>9</w:t>
      </w:r>
      <w:r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  <w:t>年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；</w:t>
      </w:r>
    </w:p>
    <w:p w14:paraId="4D401701" w14:textId="77777777" w:rsidR="00E20E7A" w:rsidRDefault="009A3613">
      <w:pPr>
        <w:spacing w:line="440" w:lineRule="exact"/>
        <w:ind w:firstLineChars="200" w:firstLine="480"/>
        <w:rPr>
          <w:rFonts w:ascii="Times New Roman" w:hAnsi="Times New Roman" w:cs="Tahoma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5.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周先明、毛波、陈林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.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全国普通高等院校音乐专业教材·钢琴，西南师范大学出版社，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2009</w:t>
      </w:r>
      <w:r>
        <w:rPr>
          <w:rFonts w:ascii="Times New Roman" w:hAnsi="Times New Roman" w:cs="Tahoma" w:hint="eastAsia"/>
          <w:color w:val="000000"/>
          <w:sz w:val="24"/>
          <w:szCs w:val="21"/>
          <w:shd w:val="clear" w:color="auto" w:fill="FFFFFF"/>
        </w:rPr>
        <w:t>年。</w:t>
      </w:r>
      <w:bookmarkStart w:id="0" w:name="_GoBack"/>
      <w:bookmarkEnd w:id="0"/>
    </w:p>
    <w:sectPr w:rsidR="00E20E7A"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5C061" w14:textId="77777777" w:rsidR="009A3613" w:rsidRDefault="009A3613" w:rsidP="006B0C82">
      <w:r>
        <w:separator/>
      </w:r>
    </w:p>
  </w:endnote>
  <w:endnote w:type="continuationSeparator" w:id="0">
    <w:p w14:paraId="3F0F67B2" w14:textId="77777777" w:rsidR="009A3613" w:rsidRDefault="009A3613" w:rsidP="006B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CD177" w14:textId="77777777" w:rsidR="009A3613" w:rsidRDefault="009A3613" w:rsidP="006B0C82">
      <w:r>
        <w:separator/>
      </w:r>
    </w:p>
  </w:footnote>
  <w:footnote w:type="continuationSeparator" w:id="0">
    <w:p w14:paraId="56057DDD" w14:textId="77777777" w:rsidR="009A3613" w:rsidRDefault="009A3613" w:rsidP="006B0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MTQwMDIyNDlmMTQwZTU2ODU4MzdhMjhkM2MwOWYifQ=="/>
    <w:docVar w:name="KSO_WPS_MARK_KEY" w:val="046600eb-e93b-4d3e-a329-2dc88e415b8a"/>
  </w:docVars>
  <w:rsids>
    <w:rsidRoot w:val="00E20E7A"/>
    <w:rsid w:val="00194A95"/>
    <w:rsid w:val="006B0C82"/>
    <w:rsid w:val="00703AAF"/>
    <w:rsid w:val="009A3613"/>
    <w:rsid w:val="00E20E7A"/>
    <w:rsid w:val="03972D28"/>
    <w:rsid w:val="04CE25C2"/>
    <w:rsid w:val="057C19CF"/>
    <w:rsid w:val="05B20F4D"/>
    <w:rsid w:val="09376242"/>
    <w:rsid w:val="0A60366D"/>
    <w:rsid w:val="0A83110A"/>
    <w:rsid w:val="0A963910"/>
    <w:rsid w:val="0B84445B"/>
    <w:rsid w:val="0E26072A"/>
    <w:rsid w:val="0F2033CB"/>
    <w:rsid w:val="101C507D"/>
    <w:rsid w:val="133E6515"/>
    <w:rsid w:val="13437548"/>
    <w:rsid w:val="16554405"/>
    <w:rsid w:val="1BE91025"/>
    <w:rsid w:val="1C8C20A0"/>
    <w:rsid w:val="1F0028D1"/>
    <w:rsid w:val="1F6B58E0"/>
    <w:rsid w:val="20783067"/>
    <w:rsid w:val="20E24984"/>
    <w:rsid w:val="212705E9"/>
    <w:rsid w:val="21CB366A"/>
    <w:rsid w:val="243126AA"/>
    <w:rsid w:val="25867FD4"/>
    <w:rsid w:val="259C42F4"/>
    <w:rsid w:val="278C389C"/>
    <w:rsid w:val="28A864B3"/>
    <w:rsid w:val="2BEA0B91"/>
    <w:rsid w:val="2D88240F"/>
    <w:rsid w:val="311961A0"/>
    <w:rsid w:val="317C672F"/>
    <w:rsid w:val="319C2E34"/>
    <w:rsid w:val="377D05FC"/>
    <w:rsid w:val="37CD39D3"/>
    <w:rsid w:val="387B4A11"/>
    <w:rsid w:val="38CF74E4"/>
    <w:rsid w:val="3ABD5DEE"/>
    <w:rsid w:val="3FAA798D"/>
    <w:rsid w:val="400E49F6"/>
    <w:rsid w:val="41C0469F"/>
    <w:rsid w:val="456E0E35"/>
    <w:rsid w:val="48396CD0"/>
    <w:rsid w:val="488066AD"/>
    <w:rsid w:val="4AA37352"/>
    <w:rsid w:val="4C9C3E50"/>
    <w:rsid w:val="4D355CB8"/>
    <w:rsid w:val="4E8A70B3"/>
    <w:rsid w:val="501047BA"/>
    <w:rsid w:val="531457AB"/>
    <w:rsid w:val="578A2030"/>
    <w:rsid w:val="57A577C3"/>
    <w:rsid w:val="5B3255E5"/>
    <w:rsid w:val="5D543F38"/>
    <w:rsid w:val="5F1F168D"/>
    <w:rsid w:val="5F82113D"/>
    <w:rsid w:val="60FB1701"/>
    <w:rsid w:val="618B3771"/>
    <w:rsid w:val="622540F5"/>
    <w:rsid w:val="62952A0B"/>
    <w:rsid w:val="64C5571C"/>
    <w:rsid w:val="6526311E"/>
    <w:rsid w:val="65485A9D"/>
    <w:rsid w:val="672C663B"/>
    <w:rsid w:val="67423D75"/>
    <w:rsid w:val="6B0859EF"/>
    <w:rsid w:val="70ED2A00"/>
    <w:rsid w:val="771B2074"/>
    <w:rsid w:val="7A886B78"/>
    <w:rsid w:val="7B640BF7"/>
    <w:rsid w:val="7B9E7D78"/>
    <w:rsid w:val="7C240B22"/>
    <w:rsid w:val="7E3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Lines="100" w:before="100" w:afterLines="50" w:after="50"/>
      <w:outlineLvl w:val="2"/>
    </w:pPr>
    <w:rPr>
      <w:rFonts w:asci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6B0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0C8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6B0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B0C8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Lines="100" w:before="100" w:afterLines="50" w:after="50"/>
      <w:outlineLvl w:val="2"/>
    </w:pPr>
    <w:rPr>
      <w:rFonts w:asci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6B0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0C8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6B0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B0C8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8%8A%E6%B5%B7%E9%9F%B3%E4%B9%90%E5%87%BA%E7%89%88%E7%A4%BE/11030504?fromModule=lemma_in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2023-11-07T11:33:00Z</dcterms:created>
  <dcterms:modified xsi:type="dcterms:W3CDTF">2025-02-19T06:42:00Z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57385F0FC7EF44B38B6DC4A219DD6780_13</vt:lpwstr>
  </property>
  <property fmtid="{D5CDD505-2E9C-101B-9397-08002B2CF9AE}" pid="4" name="KSOTemplateDocerSaveRecord">
    <vt:lpwstr>eyJoZGlkIjoiMDBlODhlMzYzYWNhZTVlYzEzYTc3YjRjMDg3NTkxMmUiLCJ1c2VySWQiOiI0NDM2NDk1NzUifQ==</vt:lpwstr>
  </property>
</Properties>
</file>